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RUBINCORPORATION.COM İADE VE CAYMA ŞARTLARI</w:t>
        <w:br/>
        <w:br/>
        <w:t>1. İade Koşulları</w:t>
        <w:br/>
        <w:t>- Ürün kullanılmamış, ambalajı bozulmamış olmalıdır.</w:t>
        <w:br/>
        <w:t>- Dijital ürünlerde (e-kitap, lisans, belge vb.) iade hakkı yalnızca erişim yapılmadan önce geçerlidir.</w:t>
        <w:br/>
        <w:br/>
        <w:t>2. Süreç</w:t>
        <w:br/>
        <w:t>İade talebi onaylandıktan sonra ücret, ödeme yapılan kanal üzerinden 14 gün içinde iade edilir.</w:t>
        <w:br/>
        <w:br/>
        <w:t>3. Kargo Ücretleri</w:t>
        <w:br/>
        <w:t>Fiziksel ürün iadelerinde kargo ücreti kullanıcıya aittir.</w:t>
        <w:br/>
        <w:br/>
        <w:t>4. Yasal Dayanak</w:t>
        <w:br/>
        <w:t>6502 sayılı Kanun ve Mesafeli Satış Yönetmeliği hükümleri geçerlidir.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