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RUBINCORPORATION.COM MESAFELİ SATIŞ SÖZLEŞMESİ</w:t>
        <w:br/>
        <w:br/>
        <w:t>1. Taraflar</w:t>
        <w:br/>
        <w:t>Satıcı: Rubincorporation</w:t>
        <w:br/>
        <w:t>Alıcı: www.rubincorporation.com sitesi üzerinden sipariş veren kullanıcı.</w:t>
        <w:br/>
        <w:br/>
        <w:t>2. Konu</w:t>
        <w:br/>
        <w:t>Bu sözleşme, 6502 sayılı Kanun gereğince internet üzerinden yapılan satışların usul ve esaslarını düzenler.</w:t>
        <w:br/>
        <w:br/>
        <w:t>3. Sipariş ve Ödeme</w:t>
        <w:br/>
        <w:t>Kullanıcı, sipariş onayını vererek ödeme yükümlülüğünü kabul eder. Ödemeler güvenli sanal POS veya banka transferiyle yapılır.</w:t>
        <w:br/>
        <w:br/>
        <w:t>4. Teslimat</w:t>
        <w:br/>
        <w:t>Fiziksel ürünler anlaşmalı kargo ile gönderilir. Dijital ürünler kullanıcı hesabına otomatik olarak tanımlanır.</w:t>
        <w:br/>
        <w:br/>
        <w:t>5. Cayma Hakkı</w:t>
        <w:br/>
        <w:t>Kullanıcı, 14 gün içinde cayma hakkını kullanabilir. Dijital ürünlerde erişim sonrası cayma hakkı geçersizdir.</w:t>
        <w:br/>
        <w:br/>
        <w:t>6. İade Süreci</w:t>
        <w:br/>
        <w:t>İade talepleri destek@rubincorporation.com adresine iletilir. Talepler 14 gün içinde sonuçlandırılır.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