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RUBINCORPORATION.COM GİZLİLİK POLİTİKASI</w:t>
        <w:br/>
        <w:br/>
        <w:t>1. Veri Toplama ve İşleme</w:t>
        <w:br/>
        <w:t>Rubincorporation, kullanıcılarından yalnızca hizmetin sunulması ve mevzuat gerekliliklerinin yerine getirilmesi için gerekli kişisel verileri toplar.</w:t>
        <w:br/>
        <w:br/>
        <w:t>2. Veri Kullanım Amaçları</w:t>
        <w:br/>
        <w:t>- Üyelik işlemlerinin yürütülmesi,</w:t>
        <w:br/>
        <w:t>- Ödeme ve faturalandırma süreçleri,</w:t>
        <w:br/>
        <w:t>- Yasal yükümlülüklerin yerine getirilmesi,</w:t>
        <w:br/>
        <w:t>- Dolandırıcılık ve siber saldırıların önlenmesi.</w:t>
        <w:br/>
        <w:br/>
        <w:t>3. Veri Güvenliği</w:t>
        <w:br/>
        <w:t>Kullanıcı verileri SSL/TLS şifreleme teknolojisiyle korunur. Tüm kayıtlar güvenli veri merkezlerinde saklanır.</w:t>
        <w:br/>
        <w:br/>
        <w:t>4. Üçüncü Taraflarla Paylaşım</w:t>
        <w:br/>
        <w:t>Kişisel veriler yalnızca faturalandırma, ödeme ve yasal bildirim süreçlerinde ilgili resmi kurumlarla paylaşılır.</w:t>
        <w:br/>
        <w:br/>
        <w:t>5. Saklama Süresi</w:t>
        <w:br/>
        <w:t>Kişisel veriler, ilgili mevzuat gereği asgari 10 yıl süreyle saklanır ve sürenin bitiminde imha edilir.</w:t>
        <w:br/>
        <w:br/>
        <w:t>6. Kullanıcı Hakları</w:t>
        <w:br/>
        <w:t>Kullanıcılar KVKK kapsamında verilerine erişme, düzeltme, silme ve taşınabilirlik hakkına sahiptir.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