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RUBINCORPORATION.COM KULLANICI SÖZLEŞMESİ</w:t>
        <w:br/>
        <w:br/>
        <w:t>1. Taraflar</w:t>
        <w:br/>
        <w:t>Bu sözleşme, www.rubincorporation.com adresinde faaliyet gösteren Rubincorporation (bundan sonra “Şirket” olarak anılacaktır) ile siteye üye olan veya hizmetlerinden faydalanan gerçek/tüzel kişiler (bundan sonra “Kullanıcı” olarak anılacaktır) arasında akdedilmiştir.</w:t>
        <w:br/>
        <w:br/>
        <w:t>2. Konu</w:t>
        <w:br/>
        <w:t>Bu sözleşme, kullanıcının www.rubincorporation.com üzerinden sunulan hizmetlerden yararlanma koşullarını, tarafların hak ve yükümlülüklerini ve elektronik ortamda gerçekleştirilen tüm işlemleri kapsamaktadır.</w:t>
        <w:br/>
        <w:br/>
        <w:t>3. Üyelik ve Sorumluluklar</w:t>
        <w:br/>
        <w:t>- Kullanıcı, üyelik sırasında beyan ettiği tüm bilgilerin doğru, güncel ve eksiksiz olduğunu kabul eder.</w:t>
        <w:br/>
        <w:t>- Kullanıcı, hesabının güvenliğinden münhasıran sorumludur; şifre, e-posta veya kullanıcı bilgilerinin üçüncü kişilerle paylaşılmaması gerekir.</w:t>
        <w:br/>
        <w:t>- Şirket, güvenlik nedeniyle üyelik işlemlerini askıya alma veya sonlandırma hakkına sahiptir.</w:t>
        <w:br/>
        <w:t>- Sistem güvenliği için IP kaydı, 2FA, CAPTCHA ve loglama gibi önlemler alınabilir.</w:t>
        <w:br/>
        <w:br/>
        <w:t>4. Hizmetin Tanımı</w:t>
        <w:br/>
        <w:t>Rubincorporation; değerli maden, yatırım ve ticaret ürünlerinin dijital ortamda sunulmasını, fiyat takibini, satın alma ve satış işlemlerinin yürütülmesini sağlar.</w:t>
        <w:br/>
        <w:br/>
        <w:t>5. Fikri Mülkiyet Hakları</w:t>
        <w:br/>
        <w:t>Site içerisindeki tüm marka, logo, yazılım, görsel, metin ve tasarım unsurları Rubincorporation’a aittir. İzinsiz kopyalanamaz, değiştirilemez veya çoğaltılamaz.</w:t>
        <w:br/>
        <w:br/>
        <w:t>6. Sözleşme Değişiklikleri</w:t>
        <w:br/>
        <w:t>Rubincorporation, gerekli gördüğü takdirde bu sözleşmeyi tek taraflı olarak değiştirme hakkını saklı tutar. Değişiklikler yayımlandığı tarihte yürürlüğe girer.</w:t>
        <w:br/>
        <w:br/>
        <w:t>7. Uygulanacak Hukuk ve Yetki</w:t>
        <w:br/>
        <w:t>Bu sözleşme Türk Hukuku’na tabidir. Taraflar arasında doğabilecek uyuşmazlıklarda İstanbul (Merkez) Mahkemeleri yetkilidir.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